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4452F0">
        <w:rPr>
          <w:rStyle w:val="a4"/>
          <w:color w:val="000000"/>
          <w:sz w:val="28"/>
          <w:szCs w:val="28"/>
        </w:rPr>
        <w:t>Податкові аудитори пояснюють: як не потрапити у податкові ризики</w:t>
      </w:r>
    </w:p>
    <w:bookmarkEnd w:id="0"/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 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Враховуючи карантинні обмеження та мораторій на певні види перевірок, протягом поточного року фахівці управління податкового аудиту Головного управління ДПС у Чернігівській області проводили фактичні перевірки у частині обігу підакцизної групи товарів, документальні перевірки з підстав декларування від’ємного значення/відшкодування податку на додану вартість та перевірки з підстав припинення (ліквідації) суб’єктів господарювання.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Протягом 11 місяців було проведено 442 фактичні та 554 документальні перевірки, результати яких узгоджено (у тому числі планових перевірок - 11, позапланових - 52, перевірок юридичних осіб у частині ПДФО, військового збору, єдиного внеску - 105, перевірок фізичних осіб (</w:t>
      </w:r>
      <w:proofErr w:type="spellStart"/>
      <w:r w:rsidRPr="004452F0">
        <w:rPr>
          <w:color w:val="000000"/>
          <w:sz w:val="28"/>
          <w:szCs w:val="28"/>
        </w:rPr>
        <w:t>самозайнятих</w:t>
      </w:r>
      <w:proofErr w:type="spellEnd"/>
      <w:r w:rsidRPr="004452F0">
        <w:rPr>
          <w:color w:val="000000"/>
          <w:sz w:val="28"/>
          <w:szCs w:val="28"/>
        </w:rPr>
        <w:t xml:space="preserve"> осіб, громадян) – 386).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За результатами перевірок суб’єктів господарювання, які порушили вимоги податкового законодавства, встановлено заниження грошових зобов’язань на суму 50,3 млн гривень. З цієї суми протягом 2020 року сплачено податків до бюджетів усіх рівнів 26,2 млн гривень.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Крім того, за результатами перевірок зменшено від’ємне значення об’єкта оподаткування податком на прибуток (збитки) на 3 млн грн, що упередило несплату податку у майбутньому на 0,5 млн грн, зменшено суму ПДВ, заявлену до відшкодування з бюджету на 3,6 млн грн, зменшено від’ємне значення з ПДВ на 7,4 млн гривень.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 xml:space="preserve">Як саме проводиться відбір платників податків для проведення документальних перевірок пояснили фахівці.  Отже, відбір здійснюється за наявними податковими ризиками недоплати сум податків, зборів, які визначаються системою </w:t>
      </w:r>
      <w:proofErr w:type="spellStart"/>
      <w:r w:rsidRPr="004452F0">
        <w:rPr>
          <w:color w:val="000000"/>
          <w:sz w:val="28"/>
          <w:szCs w:val="28"/>
        </w:rPr>
        <w:t>ризикоорієнтовного</w:t>
      </w:r>
      <w:proofErr w:type="spellEnd"/>
      <w:r w:rsidRPr="004452F0">
        <w:rPr>
          <w:color w:val="000000"/>
          <w:sz w:val="28"/>
          <w:szCs w:val="28"/>
        </w:rPr>
        <w:t xml:space="preserve"> відбору та іншою податковою інформацією ДПС України.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 xml:space="preserve">Згідно даної системи визначено 29 податкових ризиків високого ступеня, 30 ризиків середнього ступеня та 9 ризиків незначного ступеня. Можна виділити основні групи податкових ризиків згідно системи </w:t>
      </w:r>
      <w:proofErr w:type="spellStart"/>
      <w:r w:rsidRPr="004452F0">
        <w:rPr>
          <w:color w:val="000000"/>
          <w:sz w:val="28"/>
          <w:szCs w:val="28"/>
        </w:rPr>
        <w:t>ризикоорієнтовного</w:t>
      </w:r>
      <w:proofErr w:type="spellEnd"/>
      <w:r w:rsidRPr="004452F0">
        <w:rPr>
          <w:color w:val="000000"/>
          <w:sz w:val="28"/>
          <w:szCs w:val="28"/>
        </w:rPr>
        <w:t xml:space="preserve"> відбору: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- неадекватність декларування податку на прибуток або ПДВ (коли доходи, обсяги постачання зростають, а суми задекларованих податків не збільшуються) та їх розмір суттєво менший ніж у середньому по галузі,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- наявність взаємовідносин із ризиковими суб’єктами господарювання (які перебувають у розшуку, по яких наявні кримінальні провадження пов’язані із ухиленням від сплати податків, мають ознаки фіктивності та нереальної господарської діяльності),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lastRenderedPageBreak/>
        <w:t>- значний розмір інших витрат, перевищення операційних витрат над собівартістю, значні суми дебіторської та кредиторської заборгованості, та їх зростання, тощо.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Тож Головне управління ДПС у Чернігівській області закликає платників податків при декларуванні за підсумками IV кварталу та 2020 року виважено віднестись до складання податкової звітності з ПДВ та податку на прибуток та визначення сум податкових зобов’язань з метою зменшення кількості податкових ризиків та ймовірності відбору до проведення документальних перевірок у 2021 році.</w:t>
      </w:r>
    </w:p>
    <w:p w:rsidR="004452F0" w:rsidRPr="004452F0" w:rsidRDefault="004452F0" w:rsidP="004452F0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4452F0">
        <w:rPr>
          <w:color w:val="000000"/>
          <w:sz w:val="28"/>
          <w:szCs w:val="28"/>
        </w:rPr>
        <w:t>     </w:t>
      </w:r>
      <w:proofErr w:type="spellStart"/>
      <w:r w:rsidRPr="004452F0">
        <w:rPr>
          <w:i/>
          <w:color w:val="000000"/>
          <w:sz w:val="28"/>
          <w:szCs w:val="28"/>
        </w:rPr>
        <w:t>Пресслужба</w:t>
      </w:r>
      <w:proofErr w:type="spellEnd"/>
      <w:r w:rsidRPr="004452F0">
        <w:rPr>
          <w:i/>
          <w:color w:val="000000"/>
          <w:sz w:val="28"/>
          <w:szCs w:val="28"/>
        </w:rPr>
        <w:t xml:space="preserve"> Головного управління  ДПС у Чернігівській області</w:t>
      </w:r>
    </w:p>
    <w:p w:rsidR="003E7F90" w:rsidRPr="004452F0" w:rsidRDefault="003E7F90" w:rsidP="004452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F90" w:rsidRPr="00445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C6"/>
    <w:rsid w:val="00097FC6"/>
    <w:rsid w:val="003E7F90"/>
    <w:rsid w:val="004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8D7F-212D-44AA-941D-87C9ABA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5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1884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2020-12-24T12:18:00Z</dcterms:created>
  <dcterms:modified xsi:type="dcterms:W3CDTF">2020-12-24T12:23:00Z</dcterms:modified>
</cp:coreProperties>
</file>